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ascii="Helvetica" w:hAnsi="Helvetica" w:eastAsia="Helvetica" w:cs="Helvetic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auto"/>
          <w:spacing w:val="0"/>
          <w:sz w:val="28"/>
          <w:szCs w:val="28"/>
          <w:bdr w:val="none" w:color="auto" w:sz="0" w:space="0"/>
        </w:rPr>
        <w:t>新时代中小学教师职业行为十项准则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二、自觉爱国守法。忠于祖国，忠于人民，恪守宪法原则，遵守法律法规，依法履行教师职责；不得损害国家利益、社会公共利益，或违背社会公序良俗。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五、关心爱护学生。严慈相济，诲人不倦，真心关爱学生，严格要求学生，做学生良师益友；不得歧视、侮辱学生，严禁虐待、伤害学生。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六、加强安全防范。增强安全意识，加强安全教育，保护学生安全，防范事故风险；不得在教育教学活动中遇突发事件、面临危险时，不顾学生安危，擅离职守，自行逃离。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七、坚持言行雅正。为人师表，以身作则，举止文明，作风正派，自重自爱；不得与学生发生任何不正当关系，严禁任何形式的猥亵、性骚扰行为。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八、秉持公平诚信。坚持原则，处事公道，光明磊落，为人正直；不得在招生、考试、推优、保送及绩效考核、岗位聘用、职称评聘、评优评奖等工作中徇私舞弊、弄虚作假。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九、坚守廉洁自律。严于律己，清廉从教；不得索要、收受学生及家长财物或参加由学生及家长付费的宴请、旅游、娱乐休闲等活动，不得向学生推销图书报刊、教辅材料、社会保险或利用家长资源谋取私利。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十、规范从教行为。勤勉敬业，乐于奉献，自觉抵制不良风气；不得组织、参与有偿补课，或为校外培训机构和他人介绍生源、提供相关信息。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60E3"/>
    <w:rsid w:val="2E1D365D"/>
    <w:rsid w:val="38A460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opLinePunct/>
      <w:ind w:firstLine="200" w:firstLineChars="200"/>
      <w:jc w:val="both"/>
    </w:pPr>
    <w:rPr>
      <w:rFonts w:ascii="Times New Roman" w:hAnsi="Times New Roman" w:eastAsia="方正书宋简体" w:cs="Times New Roman"/>
      <w:kern w:val="20"/>
      <w:sz w:val="2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2020-06-16T08:09:00Z</dcterms:created>
  <dc:creator>13775276300</dc:creator>
  <cp:lastModifiedBy>13775276300</cp:lastModifiedBy>
  <dcterms:modified xsi:type="dcterms:W3CDTF">2020-06-16T08:11:12Z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