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jc w:val="left"/>
        <w:rPr>
          <w:rFonts w:hint="eastAsia" w:ascii="Times New Roman" w:hAnsi="Times New Roman" w:eastAsia="黑体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napToGrid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napToGrid w:val="0"/>
          <w:sz w:val="32"/>
          <w:szCs w:val="32"/>
          <w:lang w:val="en-US" w:eastAsia="zh-CN"/>
        </w:rPr>
        <w:t>2：</w:t>
      </w:r>
    </w:p>
    <w:p>
      <w:pPr>
        <w:bidi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教学能力比赛评分指标</w:t>
      </w:r>
    </w:p>
    <w:p>
      <w:pPr>
        <w:numPr>
          <w:numId w:val="0"/>
        </w:numPr>
        <w:overflowPunct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公共基础课程组</w:t>
      </w:r>
    </w:p>
    <w:tbl>
      <w:tblPr>
        <w:tblStyle w:val="6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80"/>
        <w:gridCol w:w="7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tblHeader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bookmarkStart w:id="0" w:name="_Hlk10491916"/>
            <w:r>
              <w:rPr>
                <w:rFonts w:hint="eastAsia" w:ascii="黑体" w:hAnsi="黑体" w:eastAsia="黑体"/>
                <w:sz w:val="24"/>
                <w:szCs w:val="28"/>
              </w:rPr>
              <w:t>评价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指标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分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值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目标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学情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1.适应新时代对技术技能人才培养的新要求，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中职组作品应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符合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教育部发布的《中等职业学校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公共基础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课程方案》、公共基础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课程标准有关要求，紧扣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学校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专业人才培养方案和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课程教学安排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，强调培育学生的学习能力、信息素养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、精益求精的工匠精神和爱岗敬业的劳动态度。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2.教学目标表述明确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、相互关联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，重点突出、可评可测。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客观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分析学生知识基础、认知能力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、学习特点、专业特性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等，详实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反映学生整体与个体情况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数据，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准确预判教学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难点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及其掌握可能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内容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策略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</w:t>
            </w:r>
            <w:bookmarkStart w:id="1" w:name="_Hlk44359443"/>
            <w:r>
              <w:rPr>
                <w:rFonts w:ascii="Times New Roman" w:hAnsi="Times New Roman" w:eastAsia="方正仿宋简体"/>
                <w:sz w:val="24"/>
                <w:szCs w:val="28"/>
              </w:rPr>
              <w:t>思政课程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按照“八个相统一”要求扎实推进创优建设</w:t>
            </w:r>
            <w:bookmarkEnd w:id="1"/>
            <w:r>
              <w:rPr>
                <w:rFonts w:ascii="Times New Roman" w:hAnsi="Times New Roman" w:eastAsia="方正仿宋简体"/>
                <w:sz w:val="24"/>
                <w:szCs w:val="28"/>
              </w:rPr>
              <w:t>，其他课程注重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落实课程思政要求；联系时代发展和社会生活，结合课程特点有机融入劳动教育内容，融通专业课程和职业能力，培育创新意识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2.教学内容有效支撑教学目标的实现，选择科学严谨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容量适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，安排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合理、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衔接有序、结构清晰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3.教材选用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、使用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符合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《职业院校教材管理办法》等文件规定和要求，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配套提供丰富、优质学习资源，教案完整、规范、简明、真实。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4.教学过程系统优化，流程环节构思得当，技术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应用预想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合理，方法手段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设计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恰当，评价考核考虑周全。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成效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30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1.体现先进教育思想和教学理念，遵循学生认知规律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，符合课内外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教学实际。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2.按照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教学设计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实施教学，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关注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重点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难点的解决，能够针对学习反馈及时调整教学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突出学生中心，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实行因材施教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3.教学环境满足需求，教学活动开展有序，教学互动深入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有效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，教学气氛生动活泼。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4.关注教与学全过程信息采集，针对目标要求开展考核与评价。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5.合理运用信息技术、数字资源、信息化教学设施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设备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提高教学与管理成效。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教学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素养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充分展现新时代职业院校教师良好的师德师风、教学技能和信息素养，发挥教学团队协作优势；老中青传帮带效果显著。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2.教师课堂教学态度认真、严谨规范、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表述清晰、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亲和力强。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教学实施报告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客观记载、真实反映、深刻反思教与学的成效与不足，提出教学设计与课堂实施的改进设想。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创新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1.能够引导学生树立正确的理想信念、学会正确的思维方法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、培育正确的劳动观念、增强学生职业荣誉感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2.能够创新教学模式，给学生深刻的学习体验。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3.能够与时俱进地提高信息技术应用能力、教研科研能力。</w:t>
            </w:r>
          </w:p>
          <w:p>
            <w:pPr>
              <w:overflowPunct w:val="0"/>
              <w:snapToGrid w:val="0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4.具有较大借鉴和推广价值，特别是疫情防控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  <w:lang w:eastAsia="zh-CN"/>
              </w:rPr>
              <w:t>常态化形势下的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线上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  <w:lang w:eastAsia="zh-CN"/>
              </w:rPr>
              <w:t>线下混合式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教学实践。</w:t>
            </w:r>
          </w:p>
          <w:p>
            <w:pPr>
              <w:overflowPunct w:val="0"/>
              <w:snapToGrid w:val="0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</w:p>
        </w:tc>
      </w:tr>
      <w:bookmarkEnd w:id="0"/>
    </w:tbl>
    <w:p>
      <w:pPr>
        <w:overflowPunct w:val="0"/>
        <w:snapToGrid w:val="0"/>
        <w:rPr>
          <w:rFonts w:hint="eastAsia" w:ascii="黑体" w:hAnsi="黑体" w:eastAsia="黑体"/>
          <w:sz w:val="32"/>
        </w:rPr>
      </w:pPr>
    </w:p>
    <w:p>
      <w:pPr>
        <w:overflowPunct w:val="0"/>
        <w:snapToGrid w:val="0"/>
        <w:rPr>
          <w:rFonts w:hint="eastAsia" w:ascii="黑体" w:hAnsi="黑体" w:eastAsia="黑体"/>
          <w:sz w:val="32"/>
        </w:rPr>
      </w:pPr>
    </w:p>
    <w:p>
      <w:pPr>
        <w:overflowPunct w:val="0"/>
        <w:snapToGrid w:val="0"/>
        <w:rPr>
          <w:rFonts w:hint="eastAsia" w:ascii="黑体" w:hAnsi="黑体" w:eastAsia="黑体"/>
          <w:sz w:val="32"/>
        </w:rPr>
      </w:pPr>
    </w:p>
    <w:p>
      <w:pPr>
        <w:overflowPunct w:val="0"/>
        <w:snapToGrid w:val="0"/>
        <w:rPr>
          <w:rFonts w:hint="eastAsia" w:ascii="黑体" w:hAnsi="黑体" w:eastAsia="黑体"/>
          <w:sz w:val="32"/>
        </w:rPr>
      </w:pPr>
    </w:p>
    <w:p>
      <w:pPr>
        <w:overflowPunct w:val="0"/>
        <w:snapToGrid w:val="0"/>
        <w:rPr>
          <w:rFonts w:hint="eastAsia" w:ascii="黑体" w:hAnsi="黑体" w:eastAsia="黑体"/>
          <w:sz w:val="32"/>
        </w:rPr>
      </w:pPr>
    </w:p>
    <w:p>
      <w:pPr>
        <w:numPr>
          <w:numId w:val="0"/>
        </w:numPr>
        <w:overflowPunct w:val="0"/>
        <w:snapToGrid w:val="0"/>
        <w:ind w:left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专业（技能）课程组</w:t>
      </w:r>
      <w:bookmarkStart w:id="3" w:name="_GoBack"/>
      <w:bookmarkEnd w:id="3"/>
    </w:p>
    <w:p>
      <w:pPr>
        <w:numPr>
          <w:numId w:val="0"/>
        </w:numPr>
        <w:overflowPunct w:val="0"/>
        <w:snapToGrid w:val="0"/>
        <w:ind w:leftChars="0"/>
        <w:rPr>
          <w:rFonts w:hint="eastAsia" w:ascii="黑体" w:hAnsi="黑体" w:eastAsia="黑体"/>
          <w:sz w:val="28"/>
          <w:szCs w:val="28"/>
        </w:rPr>
      </w:pPr>
    </w:p>
    <w:tbl>
      <w:tblPr>
        <w:tblStyle w:val="6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72"/>
        <w:gridCol w:w="7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评价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指标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分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值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目标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学情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1.适应新时代对技术技能人才培养的新要求，符合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教育部发布的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专业教学标准、实训教学条件建设标准（仪器设备装备规范）、顶岗实习标准等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有关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要求，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涉及1+X证书制度试点的专业，还应对接有关职业技能等级标准。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紧扣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学校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专业人才培养方案和课程标准，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强调培育学生学习能力、信息素养、职业能力、精益求精的工匠精神和爱岗敬业的劳动态度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2.教学目标表述明确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、相互关联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，重点突出、可评可测。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客观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分析学生的知识和技能基础、认知和实践能力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、学习特点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等，详实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反映学生整体与个体情况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数据，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准确预判教学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难点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及其掌握可能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内容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8"/>
              </w:rPr>
              <w:t>策略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</w:t>
            </w:r>
            <w:bookmarkStart w:id="2" w:name="_Hlk44359470"/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深入挖掘课程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思政元素，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有机融入课程教学</w:t>
            </w:r>
            <w:bookmarkEnd w:id="2"/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，及时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反映相关领域产业升级的新技术、新工艺、新规范，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结合课程特点有机融入劳动教育内容，开展劳动精神、劳模精神、工匠精神专题教育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针对基于职业工作过程建设模块化课程的需求，优化教学内容。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2.教学内容有效支撑教学目标的实现，选择科学严谨、容量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适度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，安排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合理、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衔接有序、结构清晰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实训教学内容源于真实工作任务、项目或工作流程、过程等。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3.教材选用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符合《职业院校教材管理办法》等文件规定和要求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探索使用新型活页式、工作手册式教材并配套信息化资源，引入典型生产案例。教案完整、规范、简明、真实。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根据项目式、案例式等教学需要，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教学过程系统优化，流程环节构思得当，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技术应用预想合理，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方法手段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设计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恰当，评价考核考虑周全。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</w:p>
          <w:p>
            <w:pPr>
              <w:overflowPunct w:val="0"/>
              <w:snapToGrid w:val="0"/>
              <w:spacing w:line="340" w:lineRule="exact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成效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3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0</w:t>
            </w:r>
          </w:p>
        </w:tc>
        <w:tc>
          <w:tcPr>
            <w:tcW w:w="7607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1.体现先进教育思想和教学理念，遵循学生认知规律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，符合课内外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教学实际，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落实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德技并修、工学结合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2.按照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教学设计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实施教学，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关注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技术技能教学重点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难点的解决，能够针对学习和实践反馈及时调整教学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，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突出学生中心，强调知行合一，实行因材施教。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针对不同生源特点，体现灵活的教学组织形式。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3.教学环境满足需求，教学活动安全有序，教学互动深入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有效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，教学气氛生动活泼。</w:t>
            </w:r>
          </w:p>
          <w:p>
            <w:pPr>
              <w:overflowPunct w:val="0"/>
              <w:snapToGrid w:val="0"/>
              <w:spacing w:line="216" w:lineRule="auto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4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.关注教与学全过程的信息采集，针对目标要求开展教学与实践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的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考核与评价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spacing w:line="216" w:lineRule="auto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5.合理运用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云计算、大数据、物联网、虚拟仿真、增强现实、人工智能、区块链等信息技术以及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数字资源、信息化教学设施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设备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改造传统教学与实践方式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提高管理成效。</w:t>
            </w:r>
          </w:p>
          <w:p>
            <w:pPr>
              <w:overflowPunct w:val="0"/>
              <w:snapToGrid w:val="0"/>
              <w:spacing w:line="216" w:lineRule="auto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素养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5</w:t>
            </w:r>
          </w:p>
        </w:tc>
        <w:tc>
          <w:tcPr>
            <w:tcW w:w="7607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1.充分展现新时代职业院校教师良好的师德师风、教学技能、实践能力和信息素养，发挥教学团队协作优势；老中青传帮带效果显著。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2.课堂教学态度认真、严谨规范、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表述清晰、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亲和力强。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3.实训教学讲解和操作配合恰当，规范娴熟、示范有效，符合职业岗位要求，展现良好</w:t>
            </w: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>“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双师</w:t>
            </w:r>
            <w:r>
              <w:rPr>
                <w:rFonts w:hint="eastAsia" w:ascii="方正仿宋简体" w:hAnsi="Times New Roman" w:eastAsia="方正仿宋简体"/>
                <w:sz w:val="24"/>
                <w:szCs w:val="28"/>
              </w:rPr>
              <w:t>”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素养。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4.教学实施报告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客观记载、真实反映、深刻反思理论、实践教与学的成效与不足，提出教学设计与课堂实施的改进设想。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创新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15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1.能够引导学生树立正确的理想信念、学会正确的思维方法、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培育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正确的劳动观念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、增强学生职业荣誉感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2.能够创新教学与实训模式，给学生深刻的学习与实践体验。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3.能够与时俱进地更新专业知识、积累实践技能、提高信息技术应用能力和教研科研能力。</w:t>
            </w:r>
          </w:p>
          <w:p>
            <w:pPr>
              <w:overflowPunct w:val="0"/>
              <w:snapToGrid w:val="0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4.具有较大借鉴和推广价值，特别是疫情防控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  <w:lang w:eastAsia="zh-CN"/>
              </w:rPr>
              <w:t>常态化形势下的线上线下混合式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教学实践。</w:t>
            </w:r>
          </w:p>
          <w:p>
            <w:pPr>
              <w:overflowPunct w:val="0"/>
              <w:snapToGrid w:val="0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</w:p>
        </w:tc>
      </w:tr>
    </w:tbl>
    <w:p/>
    <w:sectPr>
      <w:pgSz w:w="11906" w:h="16838"/>
      <w:pgMar w:top="2098" w:right="1474" w:bottom="1985" w:left="1588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24C42"/>
    <w:rsid w:val="2D4B6BA0"/>
    <w:rsid w:val="32824C42"/>
    <w:rsid w:val="6C2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2020-10-22T08:59:00Z</dcterms:created>
  <dc:creator>CRYSTAL1411365668</dc:creator>
  <cp:lastModifiedBy>CRYSTAL1411365668</cp:lastModifiedBy>
  <dcterms:modified xsi:type="dcterms:W3CDTF">2020-10-22T09:07:15Z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