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E0" w:rsidRPr="00E86C7F" w:rsidRDefault="005140E0" w:rsidP="005140E0">
      <w:pPr>
        <w:spacing w:line="500" w:lineRule="exact"/>
        <w:ind w:leftChars="-202" w:left="-424" w:firstLineChars="100" w:firstLine="280"/>
        <w:rPr>
          <w:rFonts w:ascii="仿宋_GB2312" w:eastAsia="仿宋_GB2312"/>
          <w:b/>
          <w:sz w:val="28"/>
          <w:szCs w:val="28"/>
        </w:rPr>
      </w:pPr>
      <w:r>
        <w:rPr>
          <w:rFonts w:ascii="仿宋" w:eastAsia="仿宋" w:hAnsi="仿宋" w:hint="eastAsia"/>
          <w:sz w:val="28"/>
          <w:szCs w:val="28"/>
        </w:rPr>
        <w:t>附件1：</w:t>
      </w:r>
      <w:r>
        <w:rPr>
          <w:rFonts w:ascii="仿宋" w:eastAsia="仿宋" w:hAnsi="仿宋" w:hint="eastAsia"/>
          <w:b/>
          <w:kern w:val="0"/>
          <w:sz w:val="28"/>
          <w:szCs w:val="28"/>
        </w:rPr>
        <w:t>说专业评价</w:t>
      </w:r>
      <w:r w:rsidRPr="00E86C7F">
        <w:rPr>
          <w:rFonts w:ascii="仿宋" w:eastAsia="仿宋" w:hAnsi="仿宋" w:hint="eastAsia"/>
          <w:b/>
          <w:kern w:val="0"/>
          <w:sz w:val="28"/>
          <w:szCs w:val="28"/>
        </w:rPr>
        <w:t>标准</w:t>
      </w:r>
    </w:p>
    <w:tbl>
      <w:tblPr>
        <w:tblW w:w="88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7"/>
        <w:gridCol w:w="6744"/>
        <w:gridCol w:w="720"/>
      </w:tblGrid>
      <w:tr w:rsidR="005140E0" w:rsidRPr="00A425BA" w:rsidTr="002F68C8">
        <w:trPr>
          <w:cantSplit/>
          <w:trHeight w:val="456"/>
          <w:tblHeader/>
          <w:jc w:val="center"/>
        </w:trPr>
        <w:tc>
          <w:tcPr>
            <w:tcW w:w="1427" w:type="dxa"/>
            <w:tcBorders>
              <w:top w:val="single" w:sz="12" w:space="0" w:color="auto"/>
            </w:tcBorders>
            <w:vAlign w:val="center"/>
          </w:tcPr>
          <w:p w:rsidR="005140E0" w:rsidRPr="00A425BA" w:rsidRDefault="005140E0" w:rsidP="002F68C8">
            <w:pPr>
              <w:spacing w:line="500" w:lineRule="exact"/>
              <w:jc w:val="center"/>
              <w:rPr>
                <w:rFonts w:ascii="仿宋" w:eastAsia="仿宋" w:hAnsi="仿宋"/>
                <w:b/>
                <w:sz w:val="24"/>
                <w:szCs w:val="21"/>
              </w:rPr>
            </w:pPr>
            <w:r>
              <w:rPr>
                <w:rFonts w:ascii="仿宋" w:eastAsia="仿宋" w:hAnsi="仿宋" w:hint="eastAsia"/>
                <w:b/>
                <w:sz w:val="24"/>
                <w:szCs w:val="21"/>
              </w:rPr>
              <w:t>评价</w:t>
            </w:r>
            <w:r w:rsidRPr="00A425BA">
              <w:rPr>
                <w:rFonts w:ascii="仿宋" w:eastAsia="仿宋" w:hAnsi="仿宋" w:hint="eastAsia"/>
                <w:b/>
                <w:sz w:val="24"/>
                <w:szCs w:val="21"/>
              </w:rPr>
              <w:t>指标</w:t>
            </w:r>
          </w:p>
        </w:tc>
        <w:tc>
          <w:tcPr>
            <w:tcW w:w="6744" w:type="dxa"/>
            <w:tcBorders>
              <w:top w:val="single" w:sz="12" w:space="0" w:color="auto"/>
            </w:tcBorders>
            <w:vAlign w:val="center"/>
          </w:tcPr>
          <w:p w:rsidR="005140E0" w:rsidRPr="00A425BA" w:rsidRDefault="005140E0" w:rsidP="002F68C8">
            <w:pPr>
              <w:spacing w:line="500" w:lineRule="exact"/>
              <w:jc w:val="center"/>
              <w:rPr>
                <w:rFonts w:ascii="仿宋" w:eastAsia="仿宋" w:hAnsi="仿宋"/>
                <w:b/>
                <w:sz w:val="24"/>
                <w:szCs w:val="21"/>
              </w:rPr>
            </w:pPr>
            <w:r w:rsidRPr="00A425BA">
              <w:rPr>
                <w:rFonts w:ascii="仿宋" w:eastAsia="仿宋" w:hAnsi="仿宋" w:hint="eastAsia"/>
                <w:b/>
                <w:sz w:val="24"/>
                <w:szCs w:val="21"/>
              </w:rPr>
              <w:t>评价</w:t>
            </w:r>
            <w:r>
              <w:rPr>
                <w:rFonts w:ascii="仿宋" w:eastAsia="仿宋" w:hAnsi="仿宋" w:hint="eastAsia"/>
                <w:b/>
                <w:sz w:val="24"/>
                <w:szCs w:val="21"/>
              </w:rPr>
              <w:t>内涵</w:t>
            </w:r>
          </w:p>
        </w:tc>
        <w:tc>
          <w:tcPr>
            <w:tcW w:w="720" w:type="dxa"/>
            <w:tcBorders>
              <w:top w:val="single" w:sz="12" w:space="0" w:color="auto"/>
            </w:tcBorders>
            <w:vAlign w:val="center"/>
          </w:tcPr>
          <w:p w:rsidR="005140E0" w:rsidRPr="00A425BA" w:rsidRDefault="005140E0" w:rsidP="002F68C8">
            <w:pPr>
              <w:spacing w:line="500" w:lineRule="exact"/>
              <w:jc w:val="center"/>
              <w:rPr>
                <w:rFonts w:ascii="仿宋" w:eastAsia="仿宋" w:hAnsi="仿宋"/>
                <w:b/>
                <w:sz w:val="24"/>
                <w:szCs w:val="21"/>
              </w:rPr>
            </w:pPr>
            <w:r w:rsidRPr="00A425BA">
              <w:rPr>
                <w:rFonts w:ascii="仿宋" w:eastAsia="仿宋" w:hAnsi="仿宋" w:hint="eastAsia"/>
                <w:b/>
                <w:sz w:val="24"/>
                <w:szCs w:val="21"/>
              </w:rPr>
              <w:t>分值</w:t>
            </w:r>
          </w:p>
        </w:tc>
      </w:tr>
      <w:tr w:rsidR="005140E0" w:rsidRPr="00A425BA" w:rsidTr="002F68C8">
        <w:trPr>
          <w:cantSplit/>
          <w:trHeight w:val="1130"/>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建设思路</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符合“对接产业（行业）、工学结合、提升质量，促进职业教育深度融入产业链，有效服务经济社会发展”的职业教育发展思路。建设理念先进，建设思路清</w:t>
            </w:r>
            <w:r>
              <w:rPr>
                <w:rFonts w:ascii="仿宋" w:eastAsia="仿宋" w:hAnsi="仿宋" w:hint="eastAsia"/>
                <w:szCs w:val="21"/>
              </w:rPr>
              <w:t>晰</w:t>
            </w:r>
            <w:r w:rsidRPr="00A425BA">
              <w:rPr>
                <w:rFonts w:ascii="仿宋" w:eastAsia="仿宋" w:hAnsi="仿宋" w:hint="eastAsia"/>
                <w:szCs w:val="21"/>
              </w:rPr>
              <w:t>、科学，切实可行。</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5</w:t>
            </w:r>
          </w:p>
        </w:tc>
      </w:tr>
      <w:tr w:rsidR="005140E0" w:rsidRPr="00A425BA" w:rsidTr="002F68C8">
        <w:trPr>
          <w:cantSplit/>
          <w:trHeight w:val="1389"/>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机制建设</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全面构建“人才共育、过程共管、责任共担、成果共享”的校企合作长效机制，引导和调动行业、企业参与专业建设和人才培养的积极性。形成适应区域产业结构优化升级的专业动态调整机制，人才培养定位与人才培养规格能够根据产业发展变化做出快速响应。</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5</w:t>
            </w:r>
          </w:p>
        </w:tc>
      </w:tr>
      <w:tr w:rsidR="005140E0" w:rsidRPr="00A425BA" w:rsidTr="002F68C8">
        <w:trPr>
          <w:cantSplit/>
          <w:trHeight w:val="1227"/>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专业定位与人才培养规格</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对接产业（行业），以区域产业发展对人才的需求为依据，明晰人才培养定位。专业定位准确，服务面向和服务岗位指向明确；以岗位职业能力与可持续发展的需求为标准，明确人才培养规格。知识、能力、素质结构合理。</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5</w:t>
            </w:r>
          </w:p>
        </w:tc>
      </w:tr>
      <w:tr w:rsidR="005140E0" w:rsidRPr="00A425BA" w:rsidTr="002F68C8">
        <w:trPr>
          <w:cantSplit/>
          <w:trHeight w:val="1085"/>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人才培养模式</w:t>
            </w:r>
          </w:p>
        </w:tc>
        <w:tc>
          <w:tcPr>
            <w:tcW w:w="6744" w:type="dxa"/>
            <w:vAlign w:val="center"/>
          </w:tcPr>
          <w:p w:rsidR="005140E0" w:rsidRPr="00A425BA" w:rsidRDefault="005140E0" w:rsidP="002F68C8">
            <w:pPr>
              <w:spacing w:line="480" w:lineRule="exact"/>
              <w:rPr>
                <w:rFonts w:ascii="仿宋" w:eastAsia="仿宋" w:hAnsi="仿宋"/>
                <w:szCs w:val="21"/>
              </w:rPr>
            </w:pPr>
            <w:r>
              <w:rPr>
                <w:rFonts w:ascii="仿宋" w:eastAsia="仿宋" w:hAnsi="仿宋" w:hint="eastAsia"/>
                <w:szCs w:val="21"/>
              </w:rPr>
              <w:t>人才培养模式体现“校企</w:t>
            </w:r>
            <w:r w:rsidRPr="00A425BA">
              <w:rPr>
                <w:rFonts w:ascii="仿宋" w:eastAsia="仿宋" w:hAnsi="仿宋" w:hint="eastAsia"/>
                <w:szCs w:val="21"/>
              </w:rPr>
              <w:t>协同，产教融合”、校企“双主体”育人；教学组织模式体现“工学结合”；教学过程体现实践性、开放性和职业性；教育教学评价体现多方共同参与。</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10</w:t>
            </w:r>
          </w:p>
        </w:tc>
      </w:tr>
      <w:tr w:rsidR="005140E0" w:rsidRPr="00A425BA" w:rsidTr="002F68C8">
        <w:trPr>
          <w:cantSplit/>
          <w:trHeight w:val="1219"/>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课程体系</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课程体系以提高学生综合职业能力和服务终身发展为目标，以职业活动为主体，适应经济社会发展要求，有利于和本科教育、继续教育相衔接。课程开发与教材建设体现系统设计、统筹规划、行动导向。</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10</w:t>
            </w:r>
          </w:p>
        </w:tc>
      </w:tr>
      <w:tr w:rsidR="005140E0" w:rsidRPr="00A425BA" w:rsidTr="002F68C8">
        <w:trPr>
          <w:cantSplit/>
          <w:trHeight w:val="1078"/>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教学团队</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采取有效的措施与手段，整合与利用社会资源，创新教师队伍成长和激励机制，注重教学团队梯队建设，形成数量足够、结构合理、</w:t>
            </w:r>
            <w:proofErr w:type="gramStart"/>
            <w:r w:rsidRPr="00A425BA">
              <w:rPr>
                <w:rFonts w:ascii="仿宋" w:eastAsia="仿宋" w:hAnsi="仿宋" w:hint="eastAsia"/>
                <w:szCs w:val="21"/>
              </w:rPr>
              <w:t>德技双</w:t>
            </w:r>
            <w:proofErr w:type="gramEnd"/>
            <w:r w:rsidRPr="00A425BA">
              <w:rPr>
                <w:rFonts w:ascii="仿宋" w:eastAsia="仿宋" w:hAnsi="仿宋" w:hint="eastAsia"/>
                <w:szCs w:val="21"/>
              </w:rPr>
              <w:t>馨的“双师型”专业教学团队。</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10</w:t>
            </w:r>
          </w:p>
        </w:tc>
      </w:tr>
      <w:tr w:rsidR="005140E0" w:rsidRPr="00A425BA" w:rsidTr="002F68C8">
        <w:trPr>
          <w:cantSplit/>
          <w:trHeight w:val="1393"/>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实践教学</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能够对整个实践教学过程进行系统化设计与实施，紧紧围绕专业人才培养目标，积极推进实践教学条件和管理模式的改革与创新。实现学校的教学活动与企业的生产过程紧密结合、专业教学环境与企业生产环境相对接、学校文化与企业文化相对接。</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10</w:t>
            </w:r>
          </w:p>
        </w:tc>
      </w:tr>
      <w:tr w:rsidR="005140E0" w:rsidRPr="00A425BA" w:rsidTr="002F68C8">
        <w:trPr>
          <w:cantSplit/>
          <w:trHeight w:val="774"/>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数字化资源建设</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以优质数字化资源建设为载体，以课程为主要表现形式，以素材资源为补充，利用网络学习平台建设共享型专业教学资源库，开展数字化教学。</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5</w:t>
            </w:r>
          </w:p>
        </w:tc>
      </w:tr>
      <w:tr w:rsidR="005140E0" w:rsidRPr="00A425BA" w:rsidTr="002F68C8">
        <w:trPr>
          <w:cantSplit/>
          <w:trHeight w:val="916"/>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lastRenderedPageBreak/>
              <w:t>教学管理与质量评价</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形成符合职业教育教学规律的、开放的教学管理制度。建立全过程监控的精细化教学管理制度，创新教学质量与人才培养质量评价模式。</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5</w:t>
            </w:r>
          </w:p>
        </w:tc>
      </w:tr>
      <w:tr w:rsidR="005140E0" w:rsidRPr="00A425BA" w:rsidTr="002F68C8">
        <w:trPr>
          <w:cantSplit/>
          <w:trHeight w:val="877"/>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社会服务</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充分利用专业优势资源，采取有效措施，积极开展社会培训与服务等。促进行业企业的技术革新与发展，为产业升级服务。</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5</w:t>
            </w:r>
          </w:p>
        </w:tc>
      </w:tr>
      <w:tr w:rsidR="005140E0" w:rsidRPr="00A425BA" w:rsidTr="002F68C8">
        <w:trPr>
          <w:cantSplit/>
          <w:trHeight w:val="801"/>
          <w:jc w:val="center"/>
        </w:trPr>
        <w:tc>
          <w:tcPr>
            <w:tcW w:w="1427"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已取得的主要经验</w:t>
            </w:r>
          </w:p>
        </w:tc>
        <w:tc>
          <w:tcPr>
            <w:tcW w:w="6744" w:type="dxa"/>
            <w:vAlign w:val="center"/>
          </w:tcPr>
          <w:p w:rsidR="005140E0" w:rsidRPr="00A425BA" w:rsidRDefault="005140E0" w:rsidP="002F68C8">
            <w:pPr>
              <w:spacing w:line="480" w:lineRule="exact"/>
              <w:rPr>
                <w:rFonts w:ascii="仿宋" w:eastAsia="仿宋" w:hAnsi="仿宋"/>
                <w:szCs w:val="21"/>
              </w:rPr>
            </w:pPr>
            <w:r w:rsidRPr="00A425BA">
              <w:rPr>
                <w:rFonts w:ascii="仿宋" w:eastAsia="仿宋" w:hAnsi="仿宋" w:hint="eastAsia"/>
                <w:szCs w:val="21"/>
              </w:rPr>
              <w:t>通过长期的探索与实践，在专业建设的某些方面形成了可资借鉴的经验，能够推广和示范，为其他专业开展专业建设提供理论指导。</w:t>
            </w:r>
          </w:p>
        </w:tc>
        <w:tc>
          <w:tcPr>
            <w:tcW w:w="720" w:type="dxa"/>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szCs w:val="21"/>
              </w:rPr>
              <w:t>10</w:t>
            </w:r>
          </w:p>
        </w:tc>
      </w:tr>
      <w:tr w:rsidR="005140E0" w:rsidRPr="00A425BA" w:rsidTr="002F68C8">
        <w:trPr>
          <w:cantSplit/>
          <w:trHeight w:val="1072"/>
          <w:jc w:val="center"/>
        </w:trPr>
        <w:tc>
          <w:tcPr>
            <w:tcW w:w="1427" w:type="dxa"/>
            <w:tcMar>
              <w:top w:w="0" w:type="dxa"/>
              <w:left w:w="57" w:type="dxa"/>
              <w:bottom w:w="0" w:type="dxa"/>
              <w:right w:w="57" w:type="dxa"/>
            </w:tcMar>
            <w:vAlign w:val="center"/>
          </w:tcPr>
          <w:p w:rsidR="005140E0" w:rsidRPr="00A425BA" w:rsidRDefault="005140E0" w:rsidP="002F68C8">
            <w:pPr>
              <w:spacing w:line="480" w:lineRule="exact"/>
              <w:jc w:val="center"/>
              <w:rPr>
                <w:rFonts w:ascii="仿宋" w:eastAsia="仿宋" w:hAnsi="仿宋"/>
                <w:szCs w:val="21"/>
              </w:rPr>
            </w:pPr>
            <w:r w:rsidRPr="00A425BA">
              <w:rPr>
                <w:rFonts w:ascii="仿宋" w:eastAsia="仿宋" w:hAnsi="仿宋" w:hint="eastAsia"/>
                <w:szCs w:val="21"/>
              </w:rPr>
              <w:t>专业建设改革的途径、方案与保障措施</w:t>
            </w:r>
          </w:p>
        </w:tc>
        <w:tc>
          <w:tcPr>
            <w:tcW w:w="6744" w:type="dxa"/>
            <w:vAlign w:val="center"/>
          </w:tcPr>
          <w:p w:rsidR="005140E0" w:rsidRPr="00A425BA" w:rsidRDefault="005140E0" w:rsidP="002F68C8">
            <w:pPr>
              <w:autoSpaceDE w:val="0"/>
              <w:autoSpaceDN w:val="0"/>
              <w:adjustRightInd w:val="0"/>
              <w:spacing w:line="480" w:lineRule="exact"/>
              <w:rPr>
                <w:rFonts w:ascii="仿宋" w:eastAsia="仿宋" w:hAnsi="仿宋"/>
                <w:szCs w:val="21"/>
              </w:rPr>
            </w:pPr>
            <w:r w:rsidRPr="00A425BA">
              <w:rPr>
                <w:rFonts w:ascii="仿宋" w:eastAsia="仿宋" w:hAnsi="仿宋" w:hint="eastAsia"/>
                <w:szCs w:val="21"/>
              </w:rPr>
              <w:t>针对目前该专业建设中存在的问题及下一步还需努力的方向提出改革设想与规划。提出的问题或方向描述准确，切中要害。下一步工作目标明确，措施得当，可操作性强。</w:t>
            </w:r>
          </w:p>
        </w:tc>
        <w:tc>
          <w:tcPr>
            <w:tcW w:w="720" w:type="dxa"/>
            <w:vAlign w:val="center"/>
          </w:tcPr>
          <w:p w:rsidR="005140E0" w:rsidRPr="00A425BA" w:rsidRDefault="005140E0" w:rsidP="002F68C8">
            <w:pPr>
              <w:autoSpaceDE w:val="0"/>
              <w:autoSpaceDN w:val="0"/>
              <w:adjustRightInd w:val="0"/>
              <w:spacing w:line="480" w:lineRule="exact"/>
              <w:jc w:val="center"/>
              <w:rPr>
                <w:rFonts w:ascii="仿宋" w:eastAsia="仿宋" w:hAnsi="仿宋"/>
                <w:kern w:val="0"/>
                <w:szCs w:val="21"/>
              </w:rPr>
            </w:pPr>
            <w:r w:rsidRPr="00A425BA">
              <w:rPr>
                <w:rFonts w:ascii="仿宋" w:eastAsia="仿宋" w:hAnsi="仿宋"/>
                <w:kern w:val="0"/>
                <w:szCs w:val="21"/>
              </w:rPr>
              <w:t>10</w:t>
            </w:r>
          </w:p>
        </w:tc>
      </w:tr>
      <w:tr w:rsidR="005140E0" w:rsidRPr="00A425BA" w:rsidTr="002F68C8">
        <w:trPr>
          <w:cantSplit/>
          <w:trHeight w:val="627"/>
          <w:jc w:val="center"/>
        </w:trPr>
        <w:tc>
          <w:tcPr>
            <w:tcW w:w="1427" w:type="dxa"/>
            <w:tcMar>
              <w:top w:w="0" w:type="dxa"/>
              <w:left w:w="57" w:type="dxa"/>
              <w:bottom w:w="0" w:type="dxa"/>
              <w:right w:w="57" w:type="dxa"/>
            </w:tcMar>
            <w:vAlign w:val="center"/>
          </w:tcPr>
          <w:p w:rsidR="005140E0" w:rsidRPr="00A425BA" w:rsidRDefault="005140E0" w:rsidP="002F68C8">
            <w:pPr>
              <w:spacing w:line="480" w:lineRule="exact"/>
              <w:jc w:val="center"/>
              <w:rPr>
                <w:rFonts w:ascii="仿宋" w:eastAsia="仿宋" w:hAnsi="仿宋"/>
                <w:szCs w:val="21"/>
              </w:rPr>
            </w:pPr>
            <w:r>
              <w:rPr>
                <w:rFonts w:ascii="仿宋" w:eastAsia="仿宋" w:hAnsi="仿宋" w:hint="eastAsia"/>
                <w:szCs w:val="21"/>
              </w:rPr>
              <w:t>答辩内容</w:t>
            </w:r>
          </w:p>
        </w:tc>
        <w:tc>
          <w:tcPr>
            <w:tcW w:w="6744" w:type="dxa"/>
            <w:vAlign w:val="center"/>
          </w:tcPr>
          <w:p w:rsidR="005140E0" w:rsidRPr="00A425BA" w:rsidRDefault="005140E0" w:rsidP="002F68C8">
            <w:pPr>
              <w:autoSpaceDE w:val="0"/>
              <w:autoSpaceDN w:val="0"/>
              <w:adjustRightInd w:val="0"/>
              <w:spacing w:line="480" w:lineRule="exact"/>
              <w:rPr>
                <w:rFonts w:ascii="仿宋" w:eastAsia="仿宋" w:hAnsi="仿宋"/>
                <w:szCs w:val="21"/>
              </w:rPr>
            </w:pPr>
            <w:r w:rsidRPr="00A425BA">
              <w:rPr>
                <w:rFonts w:ascii="仿宋" w:eastAsia="仿宋" w:hAnsi="仿宋" w:hint="eastAsia"/>
                <w:szCs w:val="21"/>
              </w:rPr>
              <w:t>回答问题的要点和观点正确，针对性强；语言组织条理清晰、逻辑严密。</w:t>
            </w:r>
          </w:p>
        </w:tc>
        <w:tc>
          <w:tcPr>
            <w:tcW w:w="720" w:type="dxa"/>
            <w:vAlign w:val="center"/>
          </w:tcPr>
          <w:p w:rsidR="005140E0" w:rsidRPr="00A425BA" w:rsidRDefault="005140E0" w:rsidP="002F68C8">
            <w:pPr>
              <w:spacing w:line="480" w:lineRule="exact"/>
              <w:jc w:val="center"/>
              <w:rPr>
                <w:rFonts w:ascii="仿宋" w:eastAsia="仿宋" w:hAnsi="仿宋"/>
                <w:szCs w:val="21"/>
              </w:rPr>
            </w:pPr>
            <w:r>
              <w:rPr>
                <w:rFonts w:ascii="仿宋" w:eastAsia="仿宋" w:hAnsi="仿宋" w:hint="eastAsia"/>
                <w:szCs w:val="21"/>
              </w:rPr>
              <w:t>5</w:t>
            </w:r>
          </w:p>
        </w:tc>
      </w:tr>
      <w:tr w:rsidR="005140E0" w:rsidRPr="00A425BA" w:rsidTr="002F68C8">
        <w:trPr>
          <w:cantSplit/>
          <w:trHeight w:val="579"/>
          <w:jc w:val="center"/>
        </w:trPr>
        <w:tc>
          <w:tcPr>
            <w:tcW w:w="1427" w:type="dxa"/>
            <w:tcBorders>
              <w:bottom w:val="single" w:sz="12" w:space="0" w:color="auto"/>
            </w:tcBorders>
            <w:tcMar>
              <w:top w:w="0" w:type="dxa"/>
              <w:left w:w="57" w:type="dxa"/>
              <w:bottom w:w="0" w:type="dxa"/>
              <w:right w:w="57" w:type="dxa"/>
            </w:tcMar>
            <w:vAlign w:val="center"/>
          </w:tcPr>
          <w:p w:rsidR="005140E0" w:rsidRPr="00FD4042" w:rsidRDefault="005140E0" w:rsidP="002F68C8">
            <w:pPr>
              <w:widowControl/>
              <w:spacing w:line="460" w:lineRule="exact"/>
              <w:jc w:val="center"/>
              <w:rPr>
                <w:rFonts w:ascii="仿宋" w:eastAsia="仿宋" w:hAnsi="仿宋" w:cs="宋体"/>
                <w:kern w:val="0"/>
                <w:szCs w:val="21"/>
              </w:rPr>
            </w:pPr>
            <w:r w:rsidRPr="00FD4042">
              <w:rPr>
                <w:rFonts w:ascii="仿宋" w:eastAsia="仿宋" w:hAnsi="仿宋" w:cs="宋体" w:hint="eastAsia"/>
                <w:kern w:val="0"/>
                <w:szCs w:val="21"/>
              </w:rPr>
              <w:t>现场展示</w:t>
            </w:r>
          </w:p>
        </w:tc>
        <w:tc>
          <w:tcPr>
            <w:tcW w:w="6744" w:type="dxa"/>
            <w:tcBorders>
              <w:bottom w:val="single" w:sz="12" w:space="0" w:color="auto"/>
            </w:tcBorders>
            <w:vAlign w:val="center"/>
          </w:tcPr>
          <w:p w:rsidR="005140E0" w:rsidRPr="00D51971" w:rsidRDefault="005140E0" w:rsidP="002F68C8">
            <w:pPr>
              <w:widowControl/>
              <w:spacing w:line="460" w:lineRule="exact"/>
              <w:rPr>
                <w:rFonts w:ascii="仿宋" w:eastAsia="仿宋" w:hAnsi="仿宋" w:cs="宋体"/>
                <w:kern w:val="0"/>
                <w:szCs w:val="21"/>
              </w:rPr>
            </w:pPr>
            <w:r w:rsidRPr="00D51971">
              <w:rPr>
                <w:rFonts w:ascii="仿宋" w:eastAsia="仿宋" w:hAnsi="仿宋" w:cs="宋体" w:hint="eastAsia"/>
                <w:kern w:val="0"/>
                <w:szCs w:val="21"/>
              </w:rPr>
              <w:t>语言流利；表述清楚、生动、形象；有激情和感染力；</w:t>
            </w:r>
            <w:r>
              <w:rPr>
                <w:rFonts w:ascii="仿宋" w:eastAsia="仿宋" w:hAnsi="仿宋" w:cs="宋体" w:hint="eastAsia"/>
                <w:kern w:val="0"/>
                <w:szCs w:val="21"/>
              </w:rPr>
              <w:t>神态自然大方，举止得体；快慢适度，停顿恰当</w:t>
            </w:r>
            <w:r w:rsidRPr="00D51971">
              <w:rPr>
                <w:rFonts w:ascii="仿宋" w:eastAsia="仿宋" w:hAnsi="仿宋" w:cs="宋体" w:hint="eastAsia"/>
                <w:color w:val="008000"/>
                <w:kern w:val="0"/>
                <w:szCs w:val="21"/>
              </w:rPr>
              <w:t>。</w:t>
            </w:r>
          </w:p>
        </w:tc>
        <w:tc>
          <w:tcPr>
            <w:tcW w:w="720" w:type="dxa"/>
            <w:tcBorders>
              <w:bottom w:val="single" w:sz="12" w:space="0" w:color="auto"/>
            </w:tcBorders>
            <w:vAlign w:val="center"/>
          </w:tcPr>
          <w:p w:rsidR="005140E0" w:rsidRPr="00D51971" w:rsidRDefault="005140E0" w:rsidP="002F68C8">
            <w:pPr>
              <w:widowControl/>
              <w:spacing w:line="480" w:lineRule="exact"/>
              <w:jc w:val="center"/>
              <w:rPr>
                <w:rFonts w:ascii="仿宋" w:eastAsia="仿宋" w:hAnsi="仿宋" w:cs="宋体"/>
                <w:kern w:val="0"/>
                <w:szCs w:val="21"/>
              </w:rPr>
            </w:pPr>
            <w:r w:rsidRPr="00D51971">
              <w:rPr>
                <w:rFonts w:ascii="仿宋" w:eastAsia="仿宋" w:hAnsi="仿宋" w:cs="宋体"/>
                <w:kern w:val="0"/>
                <w:szCs w:val="21"/>
              </w:rPr>
              <w:t>5</w:t>
            </w:r>
          </w:p>
        </w:tc>
      </w:tr>
    </w:tbl>
    <w:p w:rsidR="005140E0" w:rsidRDefault="005140E0" w:rsidP="005140E0">
      <w:pPr>
        <w:spacing w:line="480" w:lineRule="exact"/>
        <w:ind w:firstLineChars="100" w:firstLine="280"/>
        <w:rPr>
          <w:rFonts w:ascii="仿宋" w:eastAsia="仿宋" w:hAnsi="仿宋"/>
          <w:sz w:val="28"/>
          <w:szCs w:val="28"/>
        </w:rPr>
      </w:pPr>
    </w:p>
    <w:p w:rsidR="005140E0" w:rsidRDefault="005140E0" w:rsidP="005140E0">
      <w:pPr>
        <w:spacing w:line="480" w:lineRule="exact"/>
        <w:ind w:firstLineChars="100" w:firstLine="280"/>
        <w:rPr>
          <w:rFonts w:ascii="仿宋" w:eastAsia="仿宋" w:hAnsi="仿宋"/>
          <w:sz w:val="28"/>
          <w:szCs w:val="28"/>
        </w:rPr>
      </w:pPr>
    </w:p>
    <w:p w:rsidR="002E6D6D" w:rsidRDefault="002E6D6D">
      <w:bookmarkStart w:id="0" w:name="_GoBack"/>
      <w:bookmarkEnd w:id="0"/>
    </w:p>
    <w:sectPr w:rsidR="002E6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DE"/>
    <w:rsid w:val="002E6D6D"/>
    <w:rsid w:val="005140E0"/>
    <w:rsid w:val="006F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0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0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2019-10-14T04:14:00Z</dcterms:created>
  <dcterms:modified xsi:type="dcterms:W3CDTF">2019-10-14T04:15:00Z</dcterms:modified>
</cp:coreProperties>
</file>